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37A" w14:textId="77777777" w:rsidR="002B3B43" w:rsidRPr="00C33AD4" w:rsidRDefault="00C33AD4" w:rsidP="00C33AD4">
      <w:pPr>
        <w:pStyle w:val="RKrubrik"/>
        <w:pBdr>
          <w:bottom w:val="single" w:sz="4" w:space="1" w:color="000000"/>
        </w:pBdr>
        <w:spacing w:before="0" w:after="0"/>
      </w:pPr>
      <w:r>
        <w:t xml:space="preserve">Förklaring till </w:t>
      </w:r>
      <w:r w:rsidRPr="00C33AD4">
        <w:t>kriterie- och naturtypskoder</w:t>
      </w:r>
      <w:r w:rsidR="009F313F">
        <w:t xml:space="preserve"> </w:t>
      </w:r>
    </w:p>
    <w:p w14:paraId="073AFD84" w14:textId="77777777" w:rsidR="00C33AD4" w:rsidRPr="00C33AD4" w:rsidRDefault="00C33AD4" w:rsidP="00C33AD4">
      <w:pPr>
        <w:pStyle w:val="Rubrik2"/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  <w:tab w:val="left" w:pos="1134"/>
        </w:tabs>
        <w:overflowPunct w:val="0"/>
        <w:autoSpaceDE w:val="0"/>
        <w:autoSpaceDN w:val="0"/>
        <w:adjustRightInd w:val="0"/>
        <w:spacing w:before="360" w:after="160" w:line="320" w:lineRule="atLeast"/>
        <w:jc w:val="left"/>
        <w:textAlignment w:val="baseline"/>
        <w:rPr>
          <w:rFonts w:ascii="TradeGothic" w:hAnsi="TradeGothic"/>
          <w:kern w:val="28"/>
          <w:sz w:val="22"/>
          <w:lang w:val="sv-SE"/>
        </w:rPr>
      </w:pPr>
      <w:r w:rsidRPr="00C33AD4">
        <w:rPr>
          <w:rFonts w:ascii="TradeGothic" w:hAnsi="TradeGothic"/>
          <w:kern w:val="28"/>
          <w:sz w:val="22"/>
          <w:lang w:val="sv-SE"/>
        </w:rPr>
        <w:t xml:space="preserve">Kriterier för </w:t>
      </w:r>
      <w:r w:rsidR="009F313F">
        <w:rPr>
          <w:rFonts w:ascii="TradeGothic" w:hAnsi="TradeGothic"/>
          <w:kern w:val="28"/>
          <w:sz w:val="22"/>
          <w:lang w:val="sv-SE"/>
        </w:rPr>
        <w:t xml:space="preserve">att utse </w:t>
      </w:r>
      <w:r w:rsidRPr="00C33AD4">
        <w:rPr>
          <w:rFonts w:ascii="TradeGothic" w:hAnsi="TradeGothic"/>
          <w:kern w:val="28"/>
          <w:sz w:val="22"/>
          <w:lang w:val="sv-SE"/>
        </w:rPr>
        <w:t>Ramsarområden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2196"/>
        <w:gridCol w:w="6358"/>
      </w:tblGrid>
      <w:tr w:rsidR="00C33AD4" w:rsidRPr="00C33AD4" w14:paraId="1D03EB7D" w14:textId="77777777" w:rsidTr="00C33AD4">
        <w:trPr>
          <w:trHeight w:val="822"/>
        </w:trPr>
        <w:tc>
          <w:tcPr>
            <w:tcW w:w="1721" w:type="dxa"/>
            <w:shd w:val="clear" w:color="auto" w:fill="auto"/>
          </w:tcPr>
          <w:p w14:paraId="7D1C5B49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Kriterier grupp A</w:t>
            </w:r>
            <w:r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br/>
            </w:r>
          </w:p>
          <w:p w14:paraId="43E6F169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  <w:lang w:val="en-GB"/>
              </w:rPr>
            </w:pPr>
            <w:r w:rsidRPr="00C33AD4">
              <w:rPr>
                <w:rFonts w:ascii="OrigGarmnd BT" w:hAnsi="OrigGarmnd BT" w:cs="Garamond"/>
                <w:sz w:val="24"/>
                <w:szCs w:val="24"/>
              </w:rPr>
              <w:t>Våtmarkstyper</w:t>
            </w:r>
          </w:p>
        </w:tc>
        <w:tc>
          <w:tcPr>
            <w:tcW w:w="1625" w:type="dxa"/>
            <w:shd w:val="clear" w:color="auto" w:fill="auto"/>
          </w:tcPr>
          <w:p w14:paraId="0DC82695" w14:textId="77777777" w:rsidR="00C33AD4" w:rsidRPr="00C33AD4" w:rsidRDefault="009F313F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  <w:lang w:val="en-GB"/>
              </w:rPr>
            </w:pPr>
            <w:r w:rsidRPr="00C33AD4">
              <w:rPr>
                <w:rFonts w:ascii="OrigGarmnd BT" w:hAnsi="OrigGarmnd BT" w:cs="Garamond"/>
                <w:sz w:val="24"/>
                <w:szCs w:val="24"/>
              </w:rPr>
              <w:t>Våtmarkstyper</w:t>
            </w:r>
            <w:r>
              <w:rPr>
                <w:rFonts w:ascii="OrigGarmnd BT" w:hAnsi="OrigGarmnd BT" w:cs="Garamond"/>
                <w:sz w:val="24"/>
                <w:szCs w:val="24"/>
              </w:rPr>
              <w:t xml:space="preserve"> och deras ekossystemtjänster</w:t>
            </w:r>
          </w:p>
        </w:tc>
        <w:tc>
          <w:tcPr>
            <w:tcW w:w="6968" w:type="dxa"/>
            <w:shd w:val="clear" w:color="auto" w:fill="auto"/>
          </w:tcPr>
          <w:p w14:paraId="527CE903" w14:textId="77777777" w:rsidR="00C33AD4" w:rsidRPr="00C33AD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Cs/>
                <w:sz w:val="24"/>
                <w:szCs w:val="24"/>
              </w:rPr>
            </w:pP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</w:t>
            </w:r>
            <w:r w:rsidR="009F313F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um</w:t>
            </w: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1: 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En våtmark kan pekas ut som Ramsarområde om den innehåller ett representativt, sällsynt eller unikt exempel på en naturlig eller nästan naturlig våtmark</w:t>
            </w:r>
            <w:r w:rsidR="009F313F">
              <w:rPr>
                <w:rFonts w:ascii="OrigGarmnd BT" w:hAnsi="OrigGarmnd BT" w:cs="Garamond-Bold"/>
                <w:bCs/>
                <w:sz w:val="24"/>
                <w:szCs w:val="24"/>
              </w:rPr>
              <w:t xml:space="preserve">styp för en biogeografisk region. En våtmark kan också utses som Ramsarområde med stöd av de ekosystemtjänster den levererar.  </w:t>
            </w:r>
          </w:p>
        </w:tc>
      </w:tr>
      <w:tr w:rsidR="00C33AD4" w:rsidRPr="00C33AD4" w14:paraId="35775B13" w14:textId="77777777" w:rsidTr="00C33AD4">
        <w:tc>
          <w:tcPr>
            <w:tcW w:w="1721" w:type="dxa"/>
            <w:vMerge w:val="restart"/>
            <w:shd w:val="clear" w:color="auto" w:fill="auto"/>
          </w:tcPr>
          <w:p w14:paraId="3A6DD441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Kriterier grupp B</w:t>
            </w:r>
            <w:r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br/>
            </w:r>
          </w:p>
          <w:p w14:paraId="2274A425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"/>
                <w:sz w:val="24"/>
                <w:szCs w:val="24"/>
              </w:rPr>
            </w:pPr>
            <w:r w:rsidRPr="00C33AD4">
              <w:rPr>
                <w:rFonts w:ascii="OrigGarmnd BT" w:hAnsi="OrigGarmnd BT" w:cs="Garamond"/>
                <w:sz w:val="24"/>
                <w:szCs w:val="24"/>
              </w:rPr>
              <w:t>Biologisk mångfald</w:t>
            </w:r>
          </w:p>
          <w:p w14:paraId="6FC9F3CF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14:paraId="319B3A45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  <w:r w:rsidRPr="00C33AD4">
              <w:rPr>
                <w:rFonts w:ascii="OrigGarmnd BT" w:hAnsi="OrigGarmnd BT" w:cs="Garamond"/>
                <w:sz w:val="24"/>
                <w:szCs w:val="24"/>
              </w:rPr>
              <w:t>Kriterier baserade på arter och växt- och djursamhällen</w:t>
            </w:r>
          </w:p>
        </w:tc>
        <w:tc>
          <w:tcPr>
            <w:tcW w:w="6968" w:type="dxa"/>
            <w:shd w:val="clear" w:color="auto" w:fill="auto"/>
          </w:tcPr>
          <w:p w14:paraId="2B173C77" w14:textId="77777777" w:rsidR="00C33AD4" w:rsidRPr="00C33AD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</w:t>
            </w:r>
            <w:r w:rsidR="009F313F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um</w:t>
            </w: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2: 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 xml:space="preserve">En våtmark kan pekas ut som Ramsarområde om </w:t>
            </w:r>
            <w:r w:rsidRPr="00C33AD4">
              <w:rPr>
                <w:rFonts w:ascii="OrigGarmnd BT" w:hAnsi="OrigGarmnd BT" w:cs="Garamond"/>
                <w:sz w:val="24"/>
                <w:szCs w:val="24"/>
              </w:rPr>
              <w:t>den stöder utsatta, hotade eller akut hotade arter eller hotade växt- och djursamhällen.</w:t>
            </w:r>
          </w:p>
        </w:tc>
      </w:tr>
      <w:tr w:rsidR="00C33AD4" w:rsidRPr="00C33AD4" w14:paraId="665CCBD4" w14:textId="77777777" w:rsidTr="00C33AD4">
        <w:tc>
          <w:tcPr>
            <w:tcW w:w="1721" w:type="dxa"/>
            <w:vMerge/>
            <w:shd w:val="clear" w:color="auto" w:fill="auto"/>
          </w:tcPr>
          <w:p w14:paraId="3EEDCA6F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437BD8B2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shd w:val="clear" w:color="auto" w:fill="auto"/>
          </w:tcPr>
          <w:p w14:paraId="0134EC60" w14:textId="77777777" w:rsidR="00C33AD4" w:rsidRPr="00C33AD4" w:rsidRDefault="009F313F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  <w:r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Kriterium</w:t>
            </w:r>
            <w:r w:rsidR="00C33AD4"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3: </w:t>
            </w:r>
            <w:r w:rsidR="00C33AD4"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En våtmark kan pekas ut som Ramsarområde om</w:t>
            </w:r>
            <w:r w:rsidR="00C33AD4" w:rsidRPr="00C33AD4">
              <w:rPr>
                <w:rFonts w:ascii="OrigGarmnd BT" w:hAnsi="OrigGarmnd BT"/>
                <w:sz w:val="24"/>
                <w:szCs w:val="24"/>
              </w:rPr>
              <w:t xml:space="preserve"> d</w:t>
            </w:r>
            <w:r w:rsidR="00C33AD4"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en stöder populationer av växt- och/eller djurarter som är viktiga för att bevara den biologiska mångfalden i en viss biogeografisk region.</w:t>
            </w:r>
          </w:p>
        </w:tc>
      </w:tr>
      <w:tr w:rsidR="00C33AD4" w:rsidRPr="00C33AD4" w14:paraId="1A6A587F" w14:textId="77777777" w:rsidTr="00C33AD4">
        <w:tc>
          <w:tcPr>
            <w:tcW w:w="1721" w:type="dxa"/>
            <w:vMerge/>
            <w:shd w:val="clear" w:color="auto" w:fill="auto"/>
          </w:tcPr>
          <w:p w14:paraId="1104839F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753A3683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shd w:val="clear" w:color="auto" w:fill="auto"/>
          </w:tcPr>
          <w:p w14:paraId="554A31EE" w14:textId="77777777" w:rsidR="00C33AD4" w:rsidRPr="00C33AD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"/>
                <w:sz w:val="24"/>
                <w:szCs w:val="24"/>
              </w:rPr>
            </w:pP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</w:t>
            </w:r>
            <w:r w:rsidR="009F313F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um</w:t>
            </w: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4: 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En våtmark kan pekas ut som Ramsarområde om</w:t>
            </w:r>
            <w:r w:rsidRPr="00C33AD4">
              <w:rPr>
                <w:rFonts w:ascii="OrigGarmnd BT" w:hAnsi="OrigGarmnd BT"/>
                <w:sz w:val="24"/>
                <w:szCs w:val="24"/>
              </w:rPr>
              <w:t xml:space="preserve"> 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den stödjer växt- och/eller djurarter i ett kritiskt skede i deras livs</w:t>
            </w:r>
            <w:r>
              <w:rPr>
                <w:rFonts w:ascii="OrigGarmnd BT" w:hAnsi="OrigGarmnd BT" w:cs="Garamond-Bold"/>
                <w:bCs/>
                <w:sz w:val="24"/>
                <w:szCs w:val="24"/>
              </w:rPr>
              <w:softHyphen/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cykel, eller ger tillflykt under ogynnsamma förhållanden.</w:t>
            </w:r>
          </w:p>
        </w:tc>
      </w:tr>
      <w:tr w:rsidR="00C33AD4" w:rsidRPr="00C33AD4" w14:paraId="7C4A4CDA" w14:textId="77777777" w:rsidTr="00C33AD4">
        <w:tc>
          <w:tcPr>
            <w:tcW w:w="1721" w:type="dxa"/>
            <w:vMerge/>
            <w:shd w:val="clear" w:color="auto" w:fill="auto"/>
          </w:tcPr>
          <w:p w14:paraId="7CD1BC3A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14:paraId="152EF0D6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"/>
                <w:sz w:val="24"/>
                <w:szCs w:val="24"/>
              </w:rPr>
            </w:pPr>
            <w:r w:rsidRPr="00C33AD4">
              <w:rPr>
                <w:rFonts w:ascii="OrigGarmnd BT" w:hAnsi="OrigGarmnd BT" w:cs="Garamond"/>
                <w:sz w:val="24"/>
                <w:szCs w:val="24"/>
              </w:rPr>
              <w:t>Kriterier baserade på vattenfågel</w:t>
            </w:r>
          </w:p>
        </w:tc>
        <w:tc>
          <w:tcPr>
            <w:tcW w:w="6968" w:type="dxa"/>
            <w:shd w:val="clear" w:color="auto" w:fill="auto"/>
          </w:tcPr>
          <w:p w14:paraId="44DA0DA5" w14:textId="77777777" w:rsidR="00C33AD4" w:rsidRPr="00C33AD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"/>
                <w:sz w:val="24"/>
                <w:szCs w:val="24"/>
              </w:rPr>
            </w:pP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</w:t>
            </w:r>
            <w:r w:rsidR="009F313F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um</w:t>
            </w: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5: 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En våtmark kan pekas ut som Ramsarområde om</w:t>
            </w:r>
            <w:r w:rsidRPr="00C33AD4">
              <w:rPr>
                <w:rFonts w:ascii="OrigGarmnd BT" w:hAnsi="OrigGarmnd BT"/>
                <w:sz w:val="24"/>
                <w:szCs w:val="24"/>
              </w:rPr>
              <w:t xml:space="preserve"> 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den regelbundet stöder 20 000 eller fler vattenfåglar.</w:t>
            </w:r>
          </w:p>
        </w:tc>
      </w:tr>
      <w:tr w:rsidR="00C33AD4" w:rsidRPr="00C33AD4" w14:paraId="2FC8B73D" w14:textId="77777777" w:rsidTr="00C33AD4">
        <w:tc>
          <w:tcPr>
            <w:tcW w:w="1721" w:type="dxa"/>
            <w:vMerge/>
            <w:shd w:val="clear" w:color="auto" w:fill="auto"/>
          </w:tcPr>
          <w:p w14:paraId="49734633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6658E7DE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shd w:val="clear" w:color="auto" w:fill="auto"/>
          </w:tcPr>
          <w:p w14:paraId="7BC42B94" w14:textId="77777777" w:rsidR="00C33AD4" w:rsidRPr="00C33AD4" w:rsidRDefault="009F313F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"/>
                <w:sz w:val="24"/>
                <w:szCs w:val="24"/>
              </w:rPr>
            </w:pPr>
            <w:r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Kriterium</w:t>
            </w:r>
            <w:r w:rsidR="00C33AD4"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6: </w:t>
            </w:r>
            <w:r w:rsidR="00C33AD4"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 xml:space="preserve">En våtmark kan pekas ut som Ramsarområde om </w:t>
            </w:r>
            <w:r w:rsidR="00C33AD4">
              <w:rPr>
                <w:rFonts w:ascii="OrigGarmnd BT" w:hAnsi="OrigGarmnd BT" w:cs="Garamond-Bold"/>
                <w:bCs/>
                <w:sz w:val="24"/>
                <w:szCs w:val="24"/>
              </w:rPr>
              <w:t>den regelbundet stöder minst en procent</w:t>
            </w:r>
            <w:r w:rsidR="00C33AD4"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 xml:space="preserve"> av individerna i en global/biogeografiska populationen av en art eller underart av vattenfåglar.</w:t>
            </w:r>
          </w:p>
        </w:tc>
      </w:tr>
      <w:tr w:rsidR="00C33AD4" w:rsidRPr="00C33AD4" w14:paraId="49D3C46F" w14:textId="77777777" w:rsidTr="00C33AD4">
        <w:tc>
          <w:tcPr>
            <w:tcW w:w="1721" w:type="dxa"/>
            <w:vMerge/>
            <w:shd w:val="clear" w:color="auto" w:fill="auto"/>
          </w:tcPr>
          <w:p w14:paraId="422A7D58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14:paraId="73177F2B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  <w:lang w:val="en-GB"/>
              </w:rPr>
            </w:pPr>
            <w:r w:rsidRPr="00C33AD4">
              <w:rPr>
                <w:rFonts w:ascii="OrigGarmnd BT" w:hAnsi="OrigGarmnd BT" w:cs="Garamond"/>
                <w:sz w:val="24"/>
                <w:szCs w:val="24"/>
              </w:rPr>
              <w:t>Kriterier baserade på fisk</w:t>
            </w:r>
          </w:p>
        </w:tc>
        <w:tc>
          <w:tcPr>
            <w:tcW w:w="6968" w:type="dxa"/>
            <w:shd w:val="clear" w:color="auto" w:fill="auto"/>
          </w:tcPr>
          <w:p w14:paraId="67768B88" w14:textId="77777777" w:rsidR="00C33AD4" w:rsidRPr="00C33AD4" w:rsidRDefault="009F313F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"/>
                <w:sz w:val="24"/>
                <w:szCs w:val="24"/>
              </w:rPr>
            </w:pPr>
            <w:r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Kriterium</w:t>
            </w:r>
            <w:r w:rsidR="00C33AD4"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7: </w:t>
            </w:r>
            <w:r w:rsidR="00C33AD4"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En våtmark kan pekas ut som Ramsarområde om den stöder en betydande andel av de inhemska fiskarterna, arter/artfamiljer, livsstadier, arternas samspel och/eller population</w:t>
            </w:r>
            <w:r w:rsidR="00C33AD4">
              <w:rPr>
                <w:rFonts w:ascii="OrigGarmnd BT" w:hAnsi="OrigGarmnd BT" w:cs="Garamond-Bold"/>
                <w:bCs/>
                <w:sz w:val="24"/>
                <w:szCs w:val="24"/>
              </w:rPr>
              <w:softHyphen/>
            </w:r>
            <w:r w:rsidR="00C33AD4"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er som är representativa för våtmarks ekosystemtjänster och/eller naturvärden och därmed bidrar till global biologisk mångfald.</w:t>
            </w:r>
          </w:p>
        </w:tc>
      </w:tr>
      <w:tr w:rsidR="00C33AD4" w:rsidRPr="00C33AD4" w14:paraId="6AF11F50" w14:textId="77777777" w:rsidTr="00C33AD4">
        <w:tc>
          <w:tcPr>
            <w:tcW w:w="1721" w:type="dxa"/>
            <w:vMerge/>
            <w:shd w:val="clear" w:color="auto" w:fill="auto"/>
          </w:tcPr>
          <w:p w14:paraId="5C23C2F8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62FB8C78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6968" w:type="dxa"/>
            <w:shd w:val="clear" w:color="auto" w:fill="auto"/>
          </w:tcPr>
          <w:p w14:paraId="6748B268" w14:textId="77777777" w:rsidR="00C33AD4" w:rsidRPr="00C33AD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</w:t>
            </w:r>
            <w:r w:rsidR="009F313F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um</w:t>
            </w: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8: 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>En våtmark kan pekas ut som Ramsarområde om den är en viktig källa till föda för fiskar, lekplatser, uppväxtområden, eller vandringsleder som fiskbestånd, antingen i våtmarken eller någon annanstans, är beroende av.</w:t>
            </w:r>
          </w:p>
        </w:tc>
      </w:tr>
      <w:tr w:rsidR="00C33AD4" w:rsidRPr="00C33AD4" w14:paraId="3025F655" w14:textId="77777777" w:rsidTr="00C33AD4">
        <w:tc>
          <w:tcPr>
            <w:tcW w:w="1721" w:type="dxa"/>
            <w:vMerge/>
            <w:shd w:val="clear" w:color="auto" w:fill="auto"/>
          </w:tcPr>
          <w:p w14:paraId="3F4B309B" w14:textId="77777777" w:rsidR="00C33AD4" w:rsidRPr="00C33AD4" w:rsidRDefault="00C33AD4" w:rsidP="00C33AD4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42947D8E" w14:textId="77777777" w:rsidR="00C33AD4" w:rsidRPr="00560E89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"/>
                <w:sz w:val="24"/>
                <w:szCs w:val="24"/>
              </w:rPr>
            </w:pPr>
            <w:r w:rsidRPr="00560E89">
              <w:rPr>
                <w:rFonts w:ascii="OrigGarmnd BT" w:hAnsi="OrigGarmnd BT" w:cs="Garamond"/>
                <w:sz w:val="24"/>
                <w:szCs w:val="24"/>
              </w:rPr>
              <w:t>Kriterier baserade på andra grupper</w:t>
            </w:r>
            <w:r w:rsidR="009F313F">
              <w:rPr>
                <w:rFonts w:ascii="OrigGarmnd BT" w:hAnsi="OrigGarmnd BT" w:cs="Garamond"/>
                <w:sz w:val="24"/>
                <w:szCs w:val="24"/>
              </w:rPr>
              <w:t xml:space="preserve"> av djurarter</w:t>
            </w:r>
          </w:p>
        </w:tc>
        <w:tc>
          <w:tcPr>
            <w:tcW w:w="6968" w:type="dxa"/>
            <w:shd w:val="clear" w:color="auto" w:fill="auto"/>
          </w:tcPr>
          <w:p w14:paraId="55A182DB" w14:textId="77777777" w:rsidR="00C33AD4" w:rsidRPr="00C33AD4" w:rsidRDefault="00C33AD4" w:rsidP="009F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OrigGarmnd BT" w:hAnsi="OrigGarmnd BT" w:cs="Garamond-Bold"/>
                <w:b/>
                <w:bCs/>
                <w:sz w:val="24"/>
                <w:szCs w:val="24"/>
              </w:rPr>
            </w:pP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Kriteri</w:t>
            </w:r>
            <w:r w:rsidR="009F313F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>um</w:t>
            </w:r>
            <w:r w:rsidRPr="00C33AD4">
              <w:rPr>
                <w:rFonts w:ascii="OrigGarmnd BT" w:hAnsi="OrigGarmnd BT" w:cs="Garamond-Bold"/>
                <w:b/>
                <w:bCs/>
                <w:sz w:val="24"/>
                <w:szCs w:val="24"/>
              </w:rPr>
              <w:t xml:space="preserve"> 9: 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 xml:space="preserve">En våtmark kan pekas ut som Ramsarområde om </w:t>
            </w:r>
            <w:r>
              <w:rPr>
                <w:rFonts w:ascii="OrigGarmnd BT" w:hAnsi="OrigGarmnd BT" w:cs="Garamond-Bold"/>
                <w:bCs/>
                <w:sz w:val="24"/>
                <w:szCs w:val="24"/>
              </w:rPr>
              <w:t>den regelbundet stöder minst en procent</w:t>
            </w:r>
            <w:r w:rsidRPr="00C33AD4">
              <w:rPr>
                <w:rFonts w:ascii="OrigGarmnd BT" w:hAnsi="OrigGarmnd BT" w:cs="Garamond-Bold"/>
                <w:bCs/>
                <w:sz w:val="24"/>
                <w:szCs w:val="24"/>
              </w:rPr>
              <w:t xml:space="preserve"> av individerna i en global/biogeografisk population av en art eller underart eller annan systematisk nivå av våtmarksberoende djurarter exklusive fåglar.</w:t>
            </w:r>
          </w:p>
        </w:tc>
      </w:tr>
    </w:tbl>
    <w:p w14:paraId="3B67EE80" w14:textId="77777777" w:rsidR="00C33AD4" w:rsidRDefault="00C33AD4" w:rsidP="00C33AD4">
      <w:pPr>
        <w:pStyle w:val="Rubrik2"/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  <w:tab w:val="left" w:pos="1134"/>
        </w:tabs>
        <w:overflowPunct w:val="0"/>
        <w:autoSpaceDE w:val="0"/>
        <w:autoSpaceDN w:val="0"/>
        <w:adjustRightInd w:val="0"/>
        <w:spacing w:before="360" w:after="160" w:line="320" w:lineRule="atLeast"/>
        <w:jc w:val="left"/>
        <w:textAlignment w:val="baseline"/>
        <w:rPr>
          <w:rFonts w:ascii="TradeGothic" w:hAnsi="TradeGothic"/>
          <w:kern w:val="28"/>
          <w:sz w:val="22"/>
          <w:lang w:val="sv-SE"/>
        </w:rPr>
      </w:pPr>
      <w:r>
        <w:rPr>
          <w:rFonts w:ascii="TradeGothic" w:hAnsi="TradeGothic"/>
          <w:kern w:val="28"/>
          <w:sz w:val="22"/>
          <w:lang w:val="sv-SE"/>
        </w:rPr>
        <w:lastRenderedPageBreak/>
        <w:t>Våtmarkstyper</w:t>
      </w:r>
      <w:r w:rsidRPr="00C33AD4">
        <w:rPr>
          <w:rFonts w:ascii="TradeGothic" w:hAnsi="TradeGothic"/>
          <w:kern w:val="28"/>
          <w:sz w:val="22"/>
          <w:lang w:val="sv-SE"/>
        </w:rPr>
        <w:t xml:space="preserve"> i Ramsarområden enligt Ramsarkonventionen</w:t>
      </w:r>
    </w:p>
    <w:p w14:paraId="1D357341" w14:textId="77777777" w:rsidR="0017276F" w:rsidRPr="00C33AD4" w:rsidRDefault="0017276F" w:rsidP="0017276F">
      <w:pPr>
        <w:pStyle w:val="Rubrik3"/>
      </w:pPr>
      <w:r w:rsidRPr="00C33AD4">
        <w:t>Kustvåtmarker och marina våtmarker</w:t>
      </w:r>
      <w:r w:rsidR="000E58BA">
        <w:t xml:space="preserve"> </w:t>
      </w:r>
      <w:r w:rsidR="00A47109">
        <w:br/>
        <w:t xml:space="preserve">(I Sverige tillämpas </w:t>
      </w:r>
      <w:r w:rsidR="00316D36">
        <w:t xml:space="preserve">efter samråd med Ramsarkonventionens sekretariat </w:t>
      </w:r>
      <w:r w:rsidR="00A47109">
        <w:t>kustvåtmarkstyperna</w:t>
      </w:r>
      <w:r w:rsidR="003A6F09">
        <w:t>,</w:t>
      </w:r>
      <w:r w:rsidR="00A47109">
        <w:t xml:space="preserve"> </w:t>
      </w:r>
      <w:r w:rsidR="003A6F09">
        <w:t xml:space="preserve">med undantag av typ I, </w:t>
      </w:r>
      <w:r w:rsidR="00A47109">
        <w:t xml:space="preserve">längs hela </w:t>
      </w:r>
      <w:r w:rsidR="00316D36">
        <w:t xml:space="preserve">svenska </w:t>
      </w:r>
      <w:r w:rsidR="00A47109">
        <w:t>kusten oavsett salthalt och tidvattenpåverkan.)</w:t>
      </w:r>
    </w:p>
    <w:p w14:paraId="2693346B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A</w:t>
      </w:r>
      <w:r w:rsidRPr="00C33AD4">
        <w:rPr>
          <w:rFonts w:ascii="OrigGarmnd BT" w:hAnsi="OrigGarmnd BT"/>
          <w:sz w:val="24"/>
          <w:szCs w:val="24"/>
        </w:rPr>
        <w:t>: Permanenta grunda marina vatten, i de flesta fall mindre än sex meter djup vid lågvatten; omfattar havsvikar och sund.</w:t>
      </w:r>
    </w:p>
    <w:p w14:paraId="784EC25C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B</w:t>
      </w:r>
      <w:r w:rsidRPr="00C33AD4">
        <w:rPr>
          <w:rFonts w:ascii="OrigGarmnd BT" w:hAnsi="OrigGarmnd BT"/>
          <w:sz w:val="24"/>
          <w:szCs w:val="24"/>
        </w:rPr>
        <w:t>: Marina växtsamhällen som inte blottas vid ebb; innehåller tångsamhällen, sjögrässamhällen, tropiska marina växtsamhällen.</w:t>
      </w:r>
      <w:r>
        <w:rPr>
          <w:rFonts w:ascii="OrigGarmnd BT" w:hAnsi="OrigGarmnd BT"/>
          <w:sz w:val="24"/>
          <w:szCs w:val="24"/>
        </w:rPr>
        <w:t xml:space="preserve"> </w:t>
      </w:r>
    </w:p>
    <w:p w14:paraId="00834D4B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C</w:t>
      </w:r>
      <w:r w:rsidRPr="00C33AD4">
        <w:rPr>
          <w:rFonts w:ascii="OrigGarmnd BT" w:hAnsi="OrigGarmnd BT"/>
          <w:sz w:val="24"/>
          <w:szCs w:val="24"/>
        </w:rPr>
        <w:t>: Korallrev.</w:t>
      </w:r>
    </w:p>
    <w:p w14:paraId="4838F21D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D</w:t>
      </w:r>
      <w:r w:rsidRPr="00C33AD4">
        <w:rPr>
          <w:rFonts w:ascii="OrigGarmnd BT" w:hAnsi="OrigGarmnd BT"/>
          <w:sz w:val="24"/>
          <w:szCs w:val="24"/>
        </w:rPr>
        <w:t>: Marina klippstränder; omfattar klippiga öar, havsklippor.</w:t>
      </w:r>
    </w:p>
    <w:p w14:paraId="4BAD2165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E</w:t>
      </w:r>
      <w:r w:rsidRPr="00C33AD4">
        <w:rPr>
          <w:rFonts w:ascii="OrigGarmnd BT" w:hAnsi="OrigGarmnd BT"/>
          <w:sz w:val="24"/>
          <w:szCs w:val="24"/>
        </w:rPr>
        <w:t>: Sand-</w:t>
      </w:r>
      <w:r>
        <w:rPr>
          <w:rFonts w:ascii="OrigGarmnd BT" w:hAnsi="OrigGarmnd BT"/>
          <w:sz w:val="24"/>
          <w:szCs w:val="24"/>
        </w:rPr>
        <w:t>,</w:t>
      </w:r>
      <w:r w:rsidRPr="00C33AD4">
        <w:rPr>
          <w:rFonts w:ascii="OrigGarmnd BT" w:hAnsi="OrigGarmnd BT"/>
          <w:sz w:val="24"/>
          <w:szCs w:val="24"/>
        </w:rPr>
        <w:t xml:space="preserve"> grus</w:t>
      </w:r>
      <w:r>
        <w:rPr>
          <w:rFonts w:ascii="OrigGarmnd BT" w:hAnsi="OrigGarmnd BT"/>
          <w:sz w:val="24"/>
          <w:szCs w:val="24"/>
        </w:rPr>
        <w:t>-</w:t>
      </w:r>
      <w:r w:rsidRPr="00C33AD4">
        <w:rPr>
          <w:rFonts w:ascii="OrigGarmnd BT" w:hAnsi="OrigGarmnd BT"/>
          <w:sz w:val="24"/>
          <w:szCs w:val="24"/>
        </w:rPr>
        <w:t xml:space="preserve"> och stenstränder; innehåller strandsporrar, sandrevlar och sandiga holmar; omfattar dynsystem och fuktiga dynvåtmarker.</w:t>
      </w:r>
    </w:p>
    <w:p w14:paraId="4BE70358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F</w:t>
      </w:r>
      <w:r w:rsidRPr="00C33AD4">
        <w:rPr>
          <w:rFonts w:ascii="OrigGarmnd BT" w:hAnsi="OrigGarmnd BT"/>
          <w:sz w:val="24"/>
          <w:szCs w:val="24"/>
        </w:rPr>
        <w:t>: Estuarier: permanenta vatten i och i anslutning till flodmynningar och flodmynningars deltasystem.</w:t>
      </w:r>
    </w:p>
    <w:p w14:paraId="78783722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G</w:t>
      </w:r>
      <w:r w:rsidRPr="00C33AD4">
        <w:rPr>
          <w:rFonts w:ascii="OrigGarmnd BT" w:hAnsi="OrigGarmnd BT"/>
          <w:sz w:val="24"/>
          <w:szCs w:val="24"/>
        </w:rPr>
        <w:t>: Tidvattenzonens ler- och sandbottnar.</w:t>
      </w:r>
    </w:p>
    <w:p w14:paraId="36E81055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C33AD4">
        <w:rPr>
          <w:rFonts w:ascii="OrigGarmnd BT" w:hAnsi="OrigGarmnd BT"/>
          <w:b/>
          <w:sz w:val="24"/>
          <w:szCs w:val="24"/>
        </w:rPr>
        <w:t>Ga</w:t>
      </w:r>
      <w:proofErr w:type="spellEnd"/>
      <w:r w:rsidRPr="00C33AD4">
        <w:rPr>
          <w:rFonts w:ascii="OrigGarmnd BT" w:hAnsi="OrigGarmnd BT"/>
          <w:sz w:val="24"/>
          <w:szCs w:val="24"/>
        </w:rPr>
        <w:t xml:space="preserve">: Musselbankar och </w:t>
      </w:r>
      <w:proofErr w:type="spellStart"/>
      <w:r>
        <w:rPr>
          <w:rFonts w:ascii="OrigGarmnd BT" w:hAnsi="OrigGarmnd BT"/>
          <w:sz w:val="24"/>
          <w:szCs w:val="24"/>
        </w:rPr>
        <w:t>mussel</w:t>
      </w:r>
      <w:r w:rsidRPr="00C33AD4">
        <w:rPr>
          <w:rFonts w:ascii="OrigGarmnd BT" w:hAnsi="OrigGarmnd BT"/>
          <w:sz w:val="24"/>
          <w:szCs w:val="24"/>
        </w:rPr>
        <w:t>rev</w:t>
      </w:r>
      <w:proofErr w:type="spellEnd"/>
      <w:r>
        <w:rPr>
          <w:rFonts w:ascii="OrigGarmnd BT" w:hAnsi="OrigGarmnd BT"/>
          <w:sz w:val="24"/>
          <w:szCs w:val="24"/>
        </w:rPr>
        <w:t>.</w:t>
      </w:r>
    </w:p>
    <w:p w14:paraId="7FC765D1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H</w:t>
      </w:r>
      <w:r w:rsidRPr="00C33AD4">
        <w:rPr>
          <w:rFonts w:ascii="OrigGarmnd BT" w:hAnsi="OrigGarmnd BT"/>
          <w:sz w:val="24"/>
          <w:szCs w:val="24"/>
        </w:rPr>
        <w:t>: Tidvattenzonens våtmarker; inkluderar marina salta våtmarker, salta strandängar, omfattar även tidvattenzoners sankmarker med bräckt och sött vatten.</w:t>
      </w:r>
      <w:r w:rsidR="00A47109">
        <w:rPr>
          <w:rFonts w:ascii="OrigGarmnd BT" w:hAnsi="OrigGarmnd BT"/>
          <w:sz w:val="24"/>
          <w:szCs w:val="24"/>
        </w:rPr>
        <w:t xml:space="preserve"> </w:t>
      </w:r>
      <w:r w:rsidR="00A47109">
        <w:rPr>
          <w:rFonts w:ascii="OrigGarmnd BT" w:hAnsi="OrigGarmnd BT"/>
          <w:sz w:val="24"/>
          <w:szCs w:val="24"/>
        </w:rPr>
        <w:br/>
      </w:r>
      <w:r w:rsidRPr="00C33AD4">
        <w:rPr>
          <w:rFonts w:ascii="OrigGarmnd BT" w:hAnsi="OrigGarmnd BT"/>
          <w:b/>
          <w:sz w:val="24"/>
          <w:szCs w:val="24"/>
        </w:rPr>
        <w:t>I</w:t>
      </w:r>
      <w:r w:rsidRPr="00C33AD4">
        <w:rPr>
          <w:rFonts w:ascii="OrigGarmnd BT" w:hAnsi="OrigGarmnd BT"/>
          <w:sz w:val="24"/>
          <w:szCs w:val="24"/>
        </w:rPr>
        <w:t xml:space="preserve">: Tidvattenzonens skogklädda våtmarker; omfattar mangroveträsk, </w:t>
      </w:r>
      <w:proofErr w:type="spellStart"/>
      <w:r w:rsidRPr="00C33AD4">
        <w:rPr>
          <w:rFonts w:ascii="OrigGarmnd BT" w:hAnsi="OrigGarmnd BT"/>
          <w:sz w:val="24"/>
          <w:szCs w:val="24"/>
        </w:rPr>
        <w:t>Nipah</w:t>
      </w:r>
      <w:proofErr w:type="spellEnd"/>
      <w:r w:rsidRPr="00C33AD4">
        <w:rPr>
          <w:rFonts w:ascii="OrigGarmnd BT" w:hAnsi="OrigGarmnd BT"/>
          <w:sz w:val="24"/>
          <w:szCs w:val="24"/>
        </w:rPr>
        <w:t>-träsk och tidvattenzonens sötvattensumpskogar.</w:t>
      </w:r>
    </w:p>
    <w:p w14:paraId="1F99F412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J</w:t>
      </w:r>
      <w:r w:rsidRPr="00C33AD4">
        <w:rPr>
          <w:rFonts w:ascii="OrigGarmnd BT" w:hAnsi="OrigGarmnd BT"/>
          <w:sz w:val="24"/>
          <w:szCs w:val="24"/>
        </w:rPr>
        <w:t xml:space="preserve">: Kustlaguner; marina/brackvatten; marina laguner och </w:t>
      </w:r>
      <w:r>
        <w:rPr>
          <w:rFonts w:ascii="OrigGarmnd BT" w:hAnsi="OrigGarmnd BT"/>
          <w:sz w:val="24"/>
          <w:szCs w:val="24"/>
        </w:rPr>
        <w:t>laguner med brackvatten</w:t>
      </w:r>
      <w:r w:rsidRPr="00C33AD4">
        <w:rPr>
          <w:rFonts w:ascii="OrigGarmnd BT" w:hAnsi="OrigGarmnd BT"/>
          <w:sz w:val="24"/>
          <w:szCs w:val="24"/>
        </w:rPr>
        <w:t xml:space="preserve"> med åtminstone en relativt smal förbindelse till havet.</w:t>
      </w:r>
    </w:p>
    <w:p w14:paraId="703514CD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K</w:t>
      </w:r>
      <w:r w:rsidRPr="00C33AD4">
        <w:rPr>
          <w:rFonts w:ascii="OrigGarmnd BT" w:hAnsi="OrigGarmnd BT"/>
          <w:sz w:val="24"/>
          <w:szCs w:val="24"/>
        </w:rPr>
        <w:t>: Sötvattenlaguner vid kusten; omfattar sötvatten</w:t>
      </w:r>
      <w:r>
        <w:rPr>
          <w:rFonts w:ascii="OrigGarmnd BT" w:hAnsi="OrigGarmnd BT"/>
          <w:sz w:val="24"/>
          <w:szCs w:val="24"/>
        </w:rPr>
        <w:t>s</w:t>
      </w:r>
      <w:r w:rsidRPr="00C33AD4">
        <w:rPr>
          <w:rFonts w:ascii="OrigGarmnd BT" w:hAnsi="OrigGarmnd BT"/>
          <w:sz w:val="24"/>
          <w:szCs w:val="24"/>
        </w:rPr>
        <w:t>områden i deltalaguner.</w:t>
      </w:r>
    </w:p>
    <w:p w14:paraId="3F6BFA81" w14:textId="77777777" w:rsidR="0017276F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C33AD4">
        <w:rPr>
          <w:rFonts w:ascii="OrigGarmnd BT" w:hAnsi="OrigGarmnd BT"/>
          <w:b/>
          <w:sz w:val="24"/>
          <w:szCs w:val="24"/>
        </w:rPr>
        <w:t>Zka</w:t>
      </w:r>
      <w:proofErr w:type="spellEnd"/>
      <w:r w:rsidRPr="00C33AD4">
        <w:rPr>
          <w:rFonts w:ascii="OrigGarmnd BT" w:hAnsi="OrigGarmnd BT"/>
          <w:sz w:val="24"/>
          <w:szCs w:val="24"/>
        </w:rPr>
        <w:t>: Karst och andra underjordiska hydrologiska system, längs kusten och marina</w:t>
      </w:r>
      <w:r>
        <w:rPr>
          <w:rFonts w:ascii="OrigGarmnd BT" w:hAnsi="OrigGarmnd BT"/>
          <w:sz w:val="24"/>
          <w:szCs w:val="24"/>
        </w:rPr>
        <w:t>.</w:t>
      </w:r>
    </w:p>
    <w:p w14:paraId="2C75EE6C" w14:textId="77777777" w:rsidR="0017276F" w:rsidRPr="00C33AD4" w:rsidRDefault="0017276F" w:rsidP="0017276F">
      <w:pPr>
        <w:pStyle w:val="Rubrik3"/>
      </w:pPr>
      <w:r w:rsidRPr="00C33AD4">
        <w:t>Limniska våtmarker</w:t>
      </w:r>
    </w:p>
    <w:p w14:paraId="43486A9E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ind w:left="1134" w:hanging="1134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L</w:t>
      </w:r>
      <w:r>
        <w:rPr>
          <w:rFonts w:ascii="OrigGarmnd BT" w:hAnsi="OrigGarmnd BT"/>
          <w:sz w:val="24"/>
          <w:szCs w:val="24"/>
        </w:rPr>
        <w:t xml:space="preserve">: </w:t>
      </w:r>
      <w:r w:rsidRPr="00C33AD4">
        <w:rPr>
          <w:rFonts w:ascii="OrigGarmnd BT" w:hAnsi="OrigGarmnd BT"/>
          <w:sz w:val="24"/>
          <w:szCs w:val="24"/>
        </w:rPr>
        <w:t>Permanenta inlandsdeltan.</w:t>
      </w:r>
    </w:p>
    <w:p w14:paraId="4C2F10E1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ind w:left="1134" w:hanging="1134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M</w:t>
      </w:r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Permanenta vattendrag; floder, bäckar och strömmar; inkluderar vattenfall.</w:t>
      </w:r>
    </w:p>
    <w:p w14:paraId="44A76DA4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ind w:left="1134" w:hanging="1134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N</w:t>
      </w:r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Temporära vattendrag; Säsongsvisa och tillfälliga floder, bäckar och strömmar.</w:t>
      </w:r>
    </w:p>
    <w:p w14:paraId="6626079D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ind w:left="1134" w:hanging="1134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O</w:t>
      </w:r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Permanenta större sötvattensjöar (större än 8 hektar); omfattar stora korvsjöar.</w:t>
      </w:r>
    </w:p>
    <w:p w14:paraId="5BFF0679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P</w:t>
      </w:r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Temporära större sötvattenssjöar (större än 8 hektar); innefattar översvämningsområdens öppna vatten.</w:t>
      </w:r>
    </w:p>
    <w:p w14:paraId="61A83422" w14:textId="77777777" w:rsidR="00227D59" w:rsidRPr="00C33AD4" w:rsidRDefault="00227D59" w:rsidP="00227D5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227D59">
        <w:rPr>
          <w:rFonts w:ascii="OrigGarmnd BT" w:hAnsi="OrigGarmnd BT"/>
          <w:b/>
          <w:sz w:val="24"/>
          <w:szCs w:val="24"/>
        </w:rPr>
        <w:t>Q</w:t>
      </w:r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</w:t>
      </w:r>
      <w:r>
        <w:rPr>
          <w:rFonts w:ascii="OrigGarmnd BT" w:hAnsi="OrigGarmnd BT"/>
          <w:sz w:val="24"/>
          <w:szCs w:val="24"/>
        </w:rPr>
        <w:t xml:space="preserve">Permanenta </w:t>
      </w:r>
      <w:r w:rsidRPr="00C33AD4">
        <w:rPr>
          <w:rFonts w:ascii="OrigGarmnd BT" w:hAnsi="OrigGarmnd BT"/>
          <w:sz w:val="24"/>
          <w:szCs w:val="24"/>
        </w:rPr>
        <w:t xml:space="preserve">saltsjöar inkluderar saltsjöar, brackvattensjöar, alkaliska sjöar </w:t>
      </w:r>
      <w:r>
        <w:rPr>
          <w:rFonts w:ascii="OrigGarmnd BT" w:hAnsi="OrigGarmnd BT"/>
          <w:sz w:val="24"/>
          <w:szCs w:val="24"/>
        </w:rPr>
        <w:t xml:space="preserve">(ej svagt basiska kalkmiljöer) </w:t>
      </w:r>
      <w:r w:rsidRPr="00C33AD4">
        <w:rPr>
          <w:rFonts w:ascii="OrigGarmnd BT" w:hAnsi="OrigGarmnd BT"/>
          <w:sz w:val="24"/>
          <w:szCs w:val="24"/>
        </w:rPr>
        <w:t>och det flacka område där de bildas.</w:t>
      </w:r>
    </w:p>
    <w:p w14:paraId="0CE4F6F0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R</w:t>
      </w:r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Temporära saltsjöar inkluderar saltsjöar, brackvattensjöar, alkaliska sjöar </w:t>
      </w:r>
      <w:r w:rsidR="00227D59">
        <w:rPr>
          <w:rFonts w:ascii="OrigGarmnd BT" w:hAnsi="OrigGarmnd BT"/>
          <w:sz w:val="24"/>
          <w:szCs w:val="24"/>
        </w:rPr>
        <w:t xml:space="preserve">(ej svagt basiska kalkmiljöer) </w:t>
      </w:r>
      <w:r w:rsidRPr="00C33AD4">
        <w:rPr>
          <w:rFonts w:ascii="OrigGarmnd BT" w:hAnsi="OrigGarmnd BT"/>
          <w:sz w:val="24"/>
          <w:szCs w:val="24"/>
        </w:rPr>
        <w:t>och det flacka område där de bildas.</w:t>
      </w:r>
    </w:p>
    <w:p w14:paraId="46E20EF5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C33AD4">
        <w:rPr>
          <w:rFonts w:ascii="OrigGarmnd BT" w:hAnsi="OrigGarmnd BT"/>
          <w:b/>
          <w:sz w:val="24"/>
          <w:szCs w:val="24"/>
        </w:rPr>
        <w:t>Sp</w:t>
      </w:r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Permanenta salta våtmarker och småvatten: salta, bräckta och alkaliska </w:t>
      </w:r>
      <w:r w:rsidR="00227D59">
        <w:rPr>
          <w:rFonts w:ascii="OrigGarmnd BT" w:hAnsi="OrigGarmnd BT"/>
          <w:sz w:val="24"/>
          <w:szCs w:val="24"/>
        </w:rPr>
        <w:t xml:space="preserve">(ej svagt basiska kalkmiljöer) </w:t>
      </w:r>
      <w:r w:rsidRPr="00C33AD4">
        <w:rPr>
          <w:rFonts w:ascii="OrigGarmnd BT" w:hAnsi="OrigGarmnd BT"/>
          <w:sz w:val="24"/>
          <w:szCs w:val="24"/>
        </w:rPr>
        <w:t>våtmarker och småvatten.</w:t>
      </w:r>
    </w:p>
    <w:p w14:paraId="6964A890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Ss</w:t>
      </w:r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Temporära salta våtmarker och småvatten: säsongsvisa och temporära salta, bräckta och alkaliska </w:t>
      </w:r>
      <w:r w:rsidR="00227D59">
        <w:rPr>
          <w:rFonts w:ascii="OrigGarmnd BT" w:hAnsi="OrigGarmnd BT"/>
          <w:sz w:val="24"/>
          <w:szCs w:val="24"/>
        </w:rPr>
        <w:t xml:space="preserve">(ej svagt basiska kalkmiljöer) </w:t>
      </w:r>
      <w:r w:rsidRPr="00C33AD4">
        <w:rPr>
          <w:rFonts w:ascii="OrigGarmnd BT" w:hAnsi="OrigGarmnd BT"/>
          <w:sz w:val="24"/>
          <w:szCs w:val="24"/>
        </w:rPr>
        <w:t>våtmarker och småvatten.</w:t>
      </w:r>
    </w:p>
    <w:p w14:paraId="55A39B2A" w14:textId="77777777" w:rsidR="0017276F" w:rsidRPr="00C33AD4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C33AD4">
        <w:rPr>
          <w:rFonts w:ascii="OrigGarmnd BT" w:hAnsi="OrigGarmnd BT"/>
          <w:b/>
          <w:sz w:val="24"/>
          <w:szCs w:val="24"/>
        </w:rPr>
        <w:t>Tp</w:t>
      </w:r>
      <w:proofErr w:type="spellEnd"/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Permanenta sötvattensvåtmarker och småvatten på mineraljord: små sjöar och vattensamlingar (mindre än 8 ha), sumpkärr och sankmark med vegetation som står i vatten åtminstone större delen av växtsäsongen.</w:t>
      </w:r>
    </w:p>
    <w:p w14:paraId="008487F5" w14:textId="12AB61C1" w:rsidR="0017276F" w:rsidRDefault="0017276F" w:rsidP="0017276F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C33AD4">
        <w:rPr>
          <w:rFonts w:ascii="OrigGarmnd BT" w:hAnsi="OrigGarmnd BT"/>
          <w:b/>
          <w:sz w:val="24"/>
          <w:szCs w:val="24"/>
        </w:rPr>
        <w:t>Ts</w:t>
      </w:r>
      <w:proofErr w:type="spellEnd"/>
      <w:r>
        <w:rPr>
          <w:rFonts w:ascii="OrigGarmnd BT" w:hAnsi="OrigGarmnd BT"/>
          <w:sz w:val="24"/>
          <w:szCs w:val="24"/>
        </w:rPr>
        <w:t>:</w:t>
      </w:r>
      <w:r w:rsidRPr="00C33AD4">
        <w:rPr>
          <w:rFonts w:ascii="OrigGarmnd BT" w:hAnsi="OrigGarmnd BT"/>
          <w:sz w:val="24"/>
          <w:szCs w:val="24"/>
        </w:rPr>
        <w:t xml:space="preserve"> Temporära sötvattensvåtmarker och småvatten på mineraljord: svämvåtmarker och </w:t>
      </w:r>
      <w:proofErr w:type="spellStart"/>
      <w:r w:rsidRPr="00C33AD4">
        <w:rPr>
          <w:rFonts w:ascii="OrigGarmnd BT" w:hAnsi="OrigGarmnd BT"/>
          <w:sz w:val="24"/>
          <w:szCs w:val="24"/>
        </w:rPr>
        <w:t>svämsmåvatten</w:t>
      </w:r>
      <w:proofErr w:type="spellEnd"/>
      <w:r w:rsidRPr="00C33AD4">
        <w:rPr>
          <w:rFonts w:ascii="OrigGarmnd BT" w:hAnsi="OrigGarmnd BT"/>
          <w:sz w:val="24"/>
          <w:szCs w:val="24"/>
        </w:rPr>
        <w:t xml:space="preserve">, omfattar </w:t>
      </w:r>
      <w:r w:rsidR="00B313A4">
        <w:rPr>
          <w:rFonts w:ascii="OrigGarmnd BT" w:hAnsi="OrigGarmnd BT"/>
          <w:sz w:val="24"/>
          <w:szCs w:val="24"/>
        </w:rPr>
        <w:t>dödisgropar</w:t>
      </w:r>
      <w:r>
        <w:rPr>
          <w:rFonts w:ascii="OrigGarmnd BT" w:hAnsi="OrigGarmnd BT"/>
          <w:sz w:val="24"/>
          <w:szCs w:val="24"/>
        </w:rPr>
        <w:t xml:space="preserve">, </w:t>
      </w:r>
      <w:r w:rsidRPr="00C33AD4">
        <w:rPr>
          <w:rFonts w:ascii="OrigGarmnd BT" w:hAnsi="OrigGarmnd BT"/>
          <w:sz w:val="24"/>
          <w:szCs w:val="24"/>
        </w:rPr>
        <w:t xml:space="preserve">glupar, </w:t>
      </w:r>
      <w:proofErr w:type="spellStart"/>
      <w:r w:rsidRPr="00C33AD4">
        <w:rPr>
          <w:rFonts w:ascii="OrigGarmnd BT" w:hAnsi="OrigGarmnd BT"/>
          <w:sz w:val="24"/>
          <w:szCs w:val="24"/>
        </w:rPr>
        <w:t>starr</w:t>
      </w:r>
      <w:r>
        <w:rPr>
          <w:rFonts w:ascii="OrigGarmnd BT" w:hAnsi="OrigGarmnd BT"/>
          <w:sz w:val="24"/>
          <w:szCs w:val="24"/>
        </w:rPr>
        <w:t>sväm</w:t>
      </w:r>
      <w:r w:rsidRPr="00C33AD4">
        <w:rPr>
          <w:rFonts w:ascii="OrigGarmnd BT" w:hAnsi="OrigGarmnd BT"/>
          <w:sz w:val="24"/>
          <w:szCs w:val="24"/>
        </w:rPr>
        <w:t>ängar</w:t>
      </w:r>
      <w:proofErr w:type="spellEnd"/>
      <w:r w:rsidRPr="00C33AD4">
        <w:rPr>
          <w:rFonts w:ascii="OrigGarmnd BT" w:hAnsi="OrigGarmnd BT"/>
          <w:sz w:val="24"/>
          <w:szCs w:val="24"/>
        </w:rPr>
        <w:t>.</w:t>
      </w:r>
    </w:p>
    <w:p w14:paraId="7760727B" w14:textId="77777777" w:rsidR="00C33AD4" w:rsidRPr="00C33AD4" w:rsidRDefault="00C33AD4" w:rsidP="00C33AD4">
      <w:pPr>
        <w:pStyle w:val="Rubrik3"/>
      </w:pPr>
      <w:r w:rsidRPr="00C33AD4">
        <w:lastRenderedPageBreak/>
        <w:t>Landbaserade våtmarker</w:t>
      </w:r>
    </w:p>
    <w:p w14:paraId="4A14C688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U</w:t>
      </w:r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Öppna myrar; inkluderar öppna eller buskklädda mossar och kärr samt torvbildande mader.</w:t>
      </w:r>
    </w:p>
    <w:p w14:paraId="1A11195D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Va</w:t>
      </w:r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Alpina våtmarker; omfattar alpina fuktängar, temporära vatten från snösmältningen.</w:t>
      </w:r>
    </w:p>
    <w:p w14:paraId="1D06C2FA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897E09">
        <w:rPr>
          <w:rFonts w:ascii="OrigGarmnd BT" w:hAnsi="OrigGarmnd BT"/>
          <w:b/>
          <w:sz w:val="24"/>
          <w:szCs w:val="24"/>
        </w:rPr>
        <w:t>Vt</w:t>
      </w:r>
      <w:proofErr w:type="spellEnd"/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Tundravåtmarker; omfattar tundra småvatten, temporära vatten från snösmältningen.</w:t>
      </w:r>
    </w:p>
    <w:p w14:paraId="2772C185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W</w:t>
      </w:r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Buskdominerade våtmarker på mineraljord; buskkärr, busksankmarker, alsnår </w:t>
      </w:r>
    </w:p>
    <w:p w14:paraId="7876D6D7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897E09">
        <w:rPr>
          <w:rFonts w:ascii="OrigGarmnd BT" w:hAnsi="OrigGarmnd BT"/>
          <w:b/>
          <w:sz w:val="24"/>
          <w:szCs w:val="24"/>
        </w:rPr>
        <w:t>Xf</w:t>
      </w:r>
      <w:proofErr w:type="spellEnd"/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Träddominerade våtmarker på mineraljord; omfattar sumpskog, svämskog </w:t>
      </w:r>
    </w:p>
    <w:p w14:paraId="021CF9E9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897E09">
        <w:rPr>
          <w:rFonts w:ascii="OrigGarmnd BT" w:hAnsi="OrigGarmnd BT"/>
          <w:b/>
          <w:sz w:val="24"/>
          <w:szCs w:val="24"/>
        </w:rPr>
        <w:t>X</w:t>
      </w:r>
      <w:r>
        <w:rPr>
          <w:rFonts w:ascii="OrigGarmnd BT" w:hAnsi="OrigGarmnd BT"/>
          <w:b/>
          <w:sz w:val="24"/>
          <w:szCs w:val="24"/>
        </w:rPr>
        <w:t>p</w:t>
      </w:r>
      <w:proofErr w:type="spellEnd"/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Trädklädda myrar: trädklädda mossar och kärr samt sumpskog på torvmark.</w:t>
      </w:r>
    </w:p>
    <w:p w14:paraId="2CAC003D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Y</w:t>
      </w:r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Sötvattenskällor inkluderar oaser.</w:t>
      </w:r>
    </w:p>
    <w:p w14:paraId="5D91FE86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897E09">
        <w:rPr>
          <w:rFonts w:ascii="OrigGarmnd BT" w:hAnsi="OrigGarmnd BT"/>
          <w:b/>
          <w:sz w:val="24"/>
          <w:szCs w:val="24"/>
        </w:rPr>
        <w:t>Zg</w:t>
      </w:r>
      <w:proofErr w:type="spellEnd"/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Geotermiska våtmarker</w:t>
      </w:r>
    </w:p>
    <w:p w14:paraId="44DE4DC5" w14:textId="77777777" w:rsidR="00897E09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897E09">
        <w:rPr>
          <w:rFonts w:ascii="OrigGarmnd BT" w:hAnsi="OrigGarmnd BT"/>
          <w:b/>
          <w:sz w:val="24"/>
          <w:szCs w:val="24"/>
        </w:rPr>
        <w:t>Zkb</w:t>
      </w:r>
      <w:proofErr w:type="spellEnd"/>
      <w:r>
        <w:rPr>
          <w:rFonts w:ascii="OrigGarmnd BT" w:hAnsi="OrigGarmnd BT"/>
          <w:b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Karst och andra underjordiska hydrologiska system som ej ligger marint eller längs kusten.</w:t>
      </w:r>
    </w:p>
    <w:p w14:paraId="1F5A5868" w14:textId="77777777" w:rsidR="00C33AD4" w:rsidRPr="00897E09" w:rsidRDefault="00C33AD4" w:rsidP="00897E09">
      <w:pPr>
        <w:pStyle w:val="Rubrik3"/>
      </w:pPr>
      <w:r w:rsidRPr="00C33AD4">
        <w:t>Konstruerade våtmarker</w:t>
      </w:r>
    </w:p>
    <w:p w14:paraId="67FE5F73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1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Vattenbruksdammar; ex. fisk- och räkodlingsdammar</w:t>
      </w:r>
    </w:p>
    <w:p w14:paraId="24A0BE88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2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Dammar; omfattar gårdsdammar, bevattningsdammar; (i allmänhet mindre än 8 ha).</w:t>
      </w:r>
    </w:p>
    <w:p w14:paraId="45BA35A2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3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</w:t>
      </w:r>
      <w:proofErr w:type="spellStart"/>
      <w:r w:rsidR="00C33AD4" w:rsidRPr="00897E09">
        <w:rPr>
          <w:rFonts w:ascii="OrigGarmnd BT" w:hAnsi="OrigGarmnd BT"/>
          <w:sz w:val="24"/>
          <w:szCs w:val="24"/>
        </w:rPr>
        <w:t>Bevattningsområden</w:t>
      </w:r>
      <w:proofErr w:type="spellEnd"/>
      <w:r w:rsidR="00C33AD4" w:rsidRPr="00897E09">
        <w:rPr>
          <w:rFonts w:ascii="OrigGarmnd BT" w:hAnsi="OrigGarmnd BT"/>
          <w:sz w:val="24"/>
          <w:szCs w:val="24"/>
        </w:rPr>
        <w:t xml:space="preserve"> omfattar bevattningskanaler och risfält.</w:t>
      </w:r>
    </w:p>
    <w:p w14:paraId="13A8539B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4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Säsongsöversvämmad jordbruksmark (inklusive hävdade våta ängar eller våt betesmark).</w:t>
      </w:r>
    </w:p>
    <w:p w14:paraId="3B9C2D49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5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Saltutvinningsplatser</w:t>
      </w:r>
      <w:r w:rsidR="00A47109">
        <w:rPr>
          <w:rFonts w:ascii="OrigGarmnd BT" w:hAnsi="OrigGarmnd BT"/>
          <w:sz w:val="24"/>
          <w:szCs w:val="24"/>
        </w:rPr>
        <w:t>,</w:t>
      </w:r>
      <w:r w:rsidR="00C33AD4" w:rsidRPr="00897E09">
        <w:rPr>
          <w:rFonts w:ascii="OrigGarmnd BT" w:hAnsi="OrigGarmnd BT"/>
          <w:sz w:val="24"/>
          <w:szCs w:val="24"/>
        </w:rPr>
        <w:t xml:space="preserve"> saltvattenbassänger, salt</w:t>
      </w:r>
      <w:r w:rsidR="009F313F">
        <w:rPr>
          <w:rFonts w:ascii="OrigGarmnd BT" w:hAnsi="OrigGarmnd BT"/>
          <w:sz w:val="24"/>
          <w:szCs w:val="24"/>
        </w:rPr>
        <w:t>sjöar (även temporära sådana)</w:t>
      </w:r>
    </w:p>
    <w:p w14:paraId="71822A66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6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Vattenlagringsanläggningar; reservoarer/fördämningar/dammar (oftast större än 8 hektar).</w:t>
      </w:r>
    </w:p>
    <w:p w14:paraId="29A185F0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7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Vatten och våtmarker i dagbrott och täktområden: inkluderar områden med utgrävning av grus, sand och lera, småvatten i dagbrott.</w:t>
      </w:r>
    </w:p>
    <w:p w14:paraId="349C1DD5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8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Områden med behandling av avlopps- och dagvatten: avloppsreningsdammar, dagvattenreningsområden, sedimentationsbassänger, oxidationsbassänger etc.</w:t>
      </w:r>
    </w:p>
    <w:p w14:paraId="64313F75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r w:rsidRPr="00897E09">
        <w:rPr>
          <w:rFonts w:ascii="OrigGarmnd BT" w:hAnsi="OrigGarmnd BT"/>
          <w:b/>
          <w:sz w:val="24"/>
          <w:szCs w:val="24"/>
        </w:rPr>
        <w:t>9</w:t>
      </w:r>
      <w:r w:rsidRPr="00897E09"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Kanaler,</w:t>
      </w:r>
      <w:r w:rsidR="009F313F">
        <w:rPr>
          <w:rFonts w:ascii="OrigGarmnd BT" w:hAnsi="OrigGarmnd BT"/>
          <w:sz w:val="24"/>
          <w:szCs w:val="24"/>
        </w:rPr>
        <w:t xml:space="preserve"> </w:t>
      </w:r>
      <w:r w:rsidR="00C33AD4" w:rsidRPr="00897E09">
        <w:rPr>
          <w:rFonts w:ascii="OrigGarmnd BT" w:hAnsi="OrigGarmnd BT"/>
          <w:sz w:val="24"/>
          <w:szCs w:val="24"/>
        </w:rPr>
        <w:t>dräneringskanaler, diken.</w:t>
      </w:r>
    </w:p>
    <w:p w14:paraId="505C457E" w14:textId="77777777" w:rsidR="00C33AD4" w:rsidRPr="00897E09" w:rsidRDefault="00897E09" w:rsidP="00897E09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  <w:proofErr w:type="spellStart"/>
      <w:r w:rsidRPr="00897E09">
        <w:rPr>
          <w:rFonts w:ascii="OrigGarmnd BT" w:hAnsi="OrigGarmnd BT"/>
          <w:b/>
          <w:sz w:val="24"/>
          <w:szCs w:val="24"/>
        </w:rPr>
        <w:t>Zkc</w:t>
      </w:r>
      <w:proofErr w:type="spellEnd"/>
      <w:r>
        <w:rPr>
          <w:rFonts w:ascii="OrigGarmnd BT" w:hAnsi="OrigGarmnd BT"/>
          <w:sz w:val="24"/>
          <w:szCs w:val="24"/>
        </w:rPr>
        <w:t>:</w:t>
      </w:r>
      <w:r w:rsidR="00C33AD4" w:rsidRPr="00897E09">
        <w:rPr>
          <w:rFonts w:ascii="OrigGarmnd BT" w:hAnsi="OrigGarmnd BT"/>
          <w:sz w:val="24"/>
          <w:szCs w:val="24"/>
        </w:rPr>
        <w:t xml:space="preserve"> Karst och andra underjordiska hydrologiska system, skapade av människan</w:t>
      </w:r>
    </w:p>
    <w:p w14:paraId="7EE2D261" w14:textId="77777777" w:rsidR="00B7791F" w:rsidRPr="00C33AD4" w:rsidRDefault="00B7791F" w:rsidP="00C33AD4">
      <w:pPr>
        <w:tabs>
          <w:tab w:val="left" w:pos="-1440"/>
          <w:tab w:val="left" w:pos="-720"/>
          <w:tab w:val="left" w:pos="0"/>
          <w:tab w:val="left" w:pos="314"/>
          <w:tab w:val="left" w:pos="567"/>
        </w:tabs>
        <w:spacing w:after="0" w:line="240" w:lineRule="auto"/>
        <w:rPr>
          <w:rFonts w:ascii="OrigGarmnd BT" w:hAnsi="OrigGarmnd BT"/>
          <w:sz w:val="24"/>
          <w:szCs w:val="24"/>
        </w:rPr>
      </w:pPr>
    </w:p>
    <w:sectPr w:rsidR="00B7791F" w:rsidRPr="00C3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970"/>
    <w:rsid w:val="000B3E78"/>
    <w:rsid w:val="000E58BA"/>
    <w:rsid w:val="0017276F"/>
    <w:rsid w:val="00227D59"/>
    <w:rsid w:val="002A0071"/>
    <w:rsid w:val="002B3B43"/>
    <w:rsid w:val="00316D36"/>
    <w:rsid w:val="00357742"/>
    <w:rsid w:val="003A6F09"/>
    <w:rsid w:val="003D7448"/>
    <w:rsid w:val="00560E89"/>
    <w:rsid w:val="005B024E"/>
    <w:rsid w:val="00897E09"/>
    <w:rsid w:val="008F4150"/>
    <w:rsid w:val="00946DBA"/>
    <w:rsid w:val="009F313F"/>
    <w:rsid w:val="00A47109"/>
    <w:rsid w:val="00B313A4"/>
    <w:rsid w:val="00B7791F"/>
    <w:rsid w:val="00C33AD4"/>
    <w:rsid w:val="00C96BA7"/>
    <w:rsid w:val="00E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F6CD"/>
  <w15:docId w15:val="{97C10E6E-1870-4C9C-A54D-45E2263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C33AD4"/>
    <w:pPr>
      <w:keepNext/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0"/>
      <w:lang w:val="en-US"/>
    </w:rPr>
  </w:style>
  <w:style w:type="paragraph" w:styleId="Rubrik3">
    <w:name w:val="heading 3"/>
    <w:basedOn w:val="Rubrik2"/>
    <w:next w:val="Normal"/>
    <w:link w:val="Rubrik3Char"/>
    <w:qFormat/>
    <w:rsid w:val="00C33AD4"/>
    <w:pPr>
      <w:tabs>
        <w:tab w:val="clear" w:pos="-1440"/>
        <w:tab w:val="clear" w:pos="-720"/>
        <w:tab w:val="clear" w:pos="0"/>
        <w:tab w:val="clear" w:pos="314"/>
        <w:tab w:val="clear" w:pos="722"/>
        <w:tab w:val="clear" w:pos="994"/>
        <w:tab w:val="left" w:pos="1134"/>
      </w:tabs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  <w:outlineLvl w:val="2"/>
    </w:pPr>
    <w:rPr>
      <w:rFonts w:ascii="TradeGothic" w:hAnsi="TradeGothic"/>
      <w:b w:val="0"/>
      <w:kern w:val="28"/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C33AD4"/>
    <w:rPr>
      <w:rFonts w:ascii="Garamond" w:eastAsia="Times New Roman" w:hAnsi="Garamond" w:cs="Times New Roman"/>
      <w:b/>
      <w:sz w:val="24"/>
      <w:szCs w:val="20"/>
      <w:lang w:val="en-US"/>
    </w:rPr>
  </w:style>
  <w:style w:type="paragraph" w:customStyle="1" w:styleId="RKrubrik">
    <w:name w:val="RKrubrik"/>
    <w:basedOn w:val="Normal"/>
    <w:next w:val="Normal"/>
    <w:rsid w:val="00C33AD4"/>
    <w:pPr>
      <w:keepNext/>
      <w:tabs>
        <w:tab w:val="left" w:pos="709"/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 w:cs="Times New Roman"/>
      <w:b/>
      <w:szCs w:val="20"/>
    </w:rPr>
  </w:style>
  <w:style w:type="character" w:customStyle="1" w:styleId="Rubrik3Char">
    <w:name w:val="Rubrik 3 Char"/>
    <w:basedOn w:val="Standardstycketeckensnitt"/>
    <w:link w:val="Rubrik3"/>
    <w:rsid w:val="00C33AD4"/>
    <w:rPr>
      <w:rFonts w:ascii="TradeGothic" w:eastAsia="Times New Roman" w:hAnsi="TradeGothic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Moreau</dc:creator>
  <cp:lastModifiedBy>Jenny Lonnstad</cp:lastModifiedBy>
  <cp:revision>30</cp:revision>
  <dcterms:created xsi:type="dcterms:W3CDTF">2015-02-01T21:48:00Z</dcterms:created>
  <dcterms:modified xsi:type="dcterms:W3CDTF">2023-01-11T09:25:00Z</dcterms:modified>
</cp:coreProperties>
</file>